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309E">
        <w:rPr>
          <w:rFonts w:ascii="Times New Roman" w:hAnsi="Times New Roman" w:cs="Times New Roman"/>
          <w:b/>
          <w:sz w:val="28"/>
          <w:szCs w:val="28"/>
        </w:rPr>
        <w:t>Некоммерческой организации «Ф</w:t>
      </w:r>
      <w:r w:rsidR="00DC309E" w:rsidRPr="00DC309E">
        <w:rPr>
          <w:rFonts w:ascii="Times New Roman" w:hAnsi="Times New Roman" w:cs="Times New Roman"/>
          <w:b/>
          <w:sz w:val="28"/>
          <w:szCs w:val="28"/>
        </w:rPr>
        <w:t>онд капитального</w:t>
      </w:r>
      <w:r w:rsidR="00DC309E">
        <w:rPr>
          <w:rFonts w:ascii="Times New Roman" w:hAnsi="Times New Roman" w:cs="Times New Roman"/>
          <w:b/>
          <w:sz w:val="28"/>
          <w:szCs w:val="28"/>
        </w:rPr>
        <w:t xml:space="preserve"> ремонта многоквартирных домов Кузбасса»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DC309E">
        <w:rPr>
          <w:rFonts w:ascii="Times New Roman" w:hAnsi="Times New Roman" w:cs="Times New Roman"/>
          <w:sz w:val="28"/>
          <w:szCs w:val="28"/>
        </w:rPr>
        <w:t>2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DC309E" w:rsidRPr="00DC309E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января 2024 г. по 31 декабря 2025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DC309E" w:rsidRPr="00DC309E">
        <w:rPr>
          <w:rFonts w:ascii="Times New Roman" w:hAnsi="Times New Roman" w:cs="Times New Roman"/>
          <w:sz w:val="28"/>
          <w:szCs w:val="28"/>
        </w:rPr>
        <w:t>2026-ПВ.002.1002-3900.023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67235C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235C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норм жилищного законодательства при использовании средств, полученных от собственников помещений в многоквартирных домах, формирующих фонды капитального ремонта.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D4CD31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B6AA9-1E42-4862-8A78-AAABAB63F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2026-07-06T01:13:00Z</dcterms:created>
  <dcterms:modified xsi:type="dcterms:W3CDTF">2026-07-06T01:30:00Z</dcterms:modified>
</cp:coreProperties>
</file>